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4E" w:rsidRPr="009267C7" w:rsidRDefault="009267C7" w:rsidP="00926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PRE-TAVR HYPERBILIRUBINEMIA ASSOCIATED WITH POST-TAVR IN-HOSPITAL MORTALITY</w:t>
      </w:r>
    </w:p>
    <w:p w:rsidR="009267C7" w:rsidRDefault="00E0584E" w:rsidP="00926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S. </w:t>
      </w:r>
      <w:proofErr w:type="spellStart"/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Jou</w:t>
      </w:r>
      <w:proofErr w:type="spellEnd"/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 Patel, H. </w:t>
      </w:r>
      <w:proofErr w:type="spellStart"/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Oglat</w:t>
      </w:r>
      <w:proofErr w:type="spellEnd"/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Zhang, L. Zhang, A. Nappi, M. </w:t>
      </w:r>
      <w:proofErr w:type="spellStart"/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Torosoff</w:t>
      </w:r>
      <w:proofErr w:type="spellEnd"/>
    </w:p>
    <w:p w:rsidR="00E0584E" w:rsidRPr="009267C7" w:rsidRDefault="00E0584E" w:rsidP="00926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Albany Med</w:t>
      </w:r>
      <w:bookmarkStart w:id="0" w:name="_GoBack"/>
      <w:bookmarkEnd w:id="0"/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ical College, Albany, NY, USA</w:t>
      </w:r>
    </w:p>
    <w:p w:rsidR="009267C7" w:rsidRDefault="009267C7" w:rsidP="009267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7C7" w:rsidRDefault="00E0584E" w:rsidP="009267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 To determine the prognostic significance of pre-TAVR hyperbilirubinemia.</w:t>
      </w:r>
    </w:p>
    <w:p w:rsidR="009267C7" w:rsidRDefault="00E0584E" w:rsidP="009267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 </w:t>
      </w:r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It has been established that preoperative hyperbilirubinemia is associated with increased mortality and morbidity after cardiac surgery. However, hyperbilirubinemia before transcatheter aortic valve replacement (TAVR) has not yet been a subject of clinical research. </w:t>
      </w:r>
    </w:p>
    <w:p w:rsidR="009267C7" w:rsidRDefault="00E0584E" w:rsidP="009267C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 A retrospective observational study was conducted on 576 consecutive patients who underwent TAVR procedure in a single academic institution between January 2012 and March 2017. Hyperbilirubinemia was defined as any value of total bilirubin ≥1.3 mg/dL immediately prior to TAVR.</w:t>
      </w:r>
      <w:r w:rsidR="009267C7"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67C7" w:rsidRDefault="00E0584E" w:rsidP="009267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Fifty-eight patients (10%) had pre-TAVR hyperbilirubinemia. Post-TAVR hospital mortality was 6.9% in patients with preoperative hyperbilirubinemia as compared to 2.1% in the rest of the cohort (p-value = 0.03). Out of the 15 patients who died post-TAVR, 4 (27%) had pre-TAVR hyperbilirubinemia. Pre-TAVR hyperbilirubinemia was more common in younger (78.1 +/- 10 vs. 82.2 +/- 7.8 years old, p-value &lt; 0.001) males (15% vs. 6%, p-value &lt; 0.001) with history of pacemaker (24% vs. 14%, p-value = 0.049) or implantable cardioverter-defibrillator (16% vs. 4%, p-value &lt; 0.001), congestive heart failure (CHF) New York Heart Association (NYHA) class 4 within 2 weeks from TAVR (35% vs. 14%, p-value &lt; 0.001), severe tricuspid regurgitation (14% vs. 4%, p-value = 0.003), and atrial fibrillation or atrial flutter (60% vs. 41%, p-value = 0.004). In the multi-variate logistic regression analysis, age (OR 0.95, 95% CI 0.92-0.99, p-value = 0.008), male (OR 2.33, 95% CI 1.18-4.60, p-value = 0.015), and severe tricuspid regurgitation (OR 2.94, 95% CI 1.08-7.98, p-value = 0.034) were predictive of elevated bilirubin pre-TAVR, but not of post-TAVR mortality. </w:t>
      </w:r>
    </w:p>
    <w:p w:rsidR="00E0584E" w:rsidRPr="009267C7" w:rsidRDefault="00E0584E" w:rsidP="009267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9267C7">
        <w:rPr>
          <w:rFonts w:ascii="Times New Roman" w:eastAsia="Times New Roman" w:hAnsi="Times New Roman" w:cs="Times New Roman"/>
          <w:color w:val="000000"/>
          <w:sz w:val="24"/>
          <w:szCs w:val="24"/>
        </w:rPr>
        <w:t>Pre-TAVR hyperbilirubinemia is associated with significantly increased post-TAVR in-hospital mortality. However, demographic factors and clinical parameters associated with elevated pre-TAVR bilirubin do not affect post-TAVR mortality. Additional studies on this prognostic correlation is needed.</w:t>
      </w:r>
    </w:p>
    <w:p w:rsidR="00E0584E" w:rsidRPr="009267C7" w:rsidRDefault="00E0584E" w:rsidP="009267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9267C7" w:rsidRDefault="000D6BC0" w:rsidP="009267C7">
      <w:pPr>
        <w:rPr>
          <w:sz w:val="24"/>
          <w:szCs w:val="24"/>
        </w:rPr>
      </w:pPr>
    </w:p>
    <w:sectPr w:rsidR="00345DBB" w:rsidRPr="009267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BC0" w:rsidRDefault="000D6BC0" w:rsidP="009267C7">
      <w:r>
        <w:separator/>
      </w:r>
    </w:p>
  </w:endnote>
  <w:endnote w:type="continuationSeparator" w:id="0">
    <w:p w:rsidR="000D6BC0" w:rsidRDefault="000D6BC0" w:rsidP="0092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C0" w:rsidRDefault="000D6BC0" w:rsidP="009267C7">
      <w:r>
        <w:separator/>
      </w:r>
    </w:p>
  </w:footnote>
  <w:footnote w:type="continuationSeparator" w:id="0">
    <w:p w:rsidR="000D6BC0" w:rsidRDefault="000D6BC0" w:rsidP="0092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C7" w:rsidRPr="009267C7" w:rsidRDefault="009267C7" w:rsidP="009267C7">
    <w:pPr>
      <w:spacing w:before="100" w:beforeAutospacing="1" w:after="100" w:afterAutospacing="1"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267C7">
      <w:rPr>
        <w:rFonts w:ascii="Times New Roman" w:eastAsia="Times New Roman" w:hAnsi="Times New Roman" w:cs="Times New Roman"/>
        <w:color w:val="000000"/>
        <w:sz w:val="24"/>
        <w:szCs w:val="24"/>
      </w:rPr>
      <w:t>18-A-556-IAC</w:t>
    </w:r>
  </w:p>
  <w:p w:rsidR="009267C7" w:rsidRPr="009267C7" w:rsidRDefault="009267C7" w:rsidP="009267C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267C7">
      <w:rPr>
        <w:rFonts w:ascii="Times New Roman" w:eastAsia="Times New Roman" w:hAnsi="Times New Roman" w:cs="Times New Roman"/>
        <w:color w:val="000000"/>
        <w:sz w:val="24"/>
        <w:szCs w:val="24"/>
      </w:rPr>
      <w:t>30. Transcatheter Therapy for Structural Heart Disease</w:t>
    </w:r>
  </w:p>
  <w:p w:rsidR="009267C7" w:rsidRDefault="009267C7">
    <w:pPr>
      <w:pStyle w:val="Header"/>
    </w:pPr>
  </w:p>
  <w:p w:rsidR="009267C7" w:rsidRDefault="00926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4E"/>
    <w:rsid w:val="000D6BC0"/>
    <w:rsid w:val="0030401F"/>
    <w:rsid w:val="008A10D5"/>
    <w:rsid w:val="009267C7"/>
    <w:rsid w:val="00A128E1"/>
    <w:rsid w:val="00E0584E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E349"/>
  <w15:chartTrackingRefBased/>
  <w15:docId w15:val="{FDD0FA2F-E70E-43BB-9EFB-EB209C0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C7"/>
  </w:style>
  <w:style w:type="paragraph" w:styleId="Footer">
    <w:name w:val="footer"/>
    <w:basedOn w:val="Normal"/>
    <w:link w:val="FooterChar"/>
    <w:uiPriority w:val="99"/>
    <w:unhideWhenUsed/>
    <w:rsid w:val="0092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2018-05-19T08:06:00Z</dcterms:created>
  <dcterms:modified xsi:type="dcterms:W3CDTF">2018-05-19T08:12:00Z</dcterms:modified>
</cp:coreProperties>
</file>